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BA" w:rsidRPr="00964EBA" w:rsidRDefault="00964EBA" w:rsidP="00964EBA">
      <w:pPr>
        <w:spacing w:after="94" w:line="411" w:lineRule="atLeast"/>
        <w:outlineLvl w:val="0"/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</w:pPr>
      <w:r w:rsidRPr="00964EBA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>Приказ Министерства образования и науки Российской Федерации (</w:t>
      </w:r>
      <w:proofErr w:type="spellStart"/>
      <w:r w:rsidRPr="00964EBA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>Минобрнауки</w:t>
      </w:r>
      <w:proofErr w:type="spellEnd"/>
      <w:r w:rsidRPr="00964EBA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 xml:space="preserve"> России) от 30 августа 2013 г. N 1014 г. Москва</w:t>
      </w:r>
    </w:p>
    <w:p w:rsidR="00964EBA" w:rsidRPr="00964EBA" w:rsidRDefault="00964EBA" w:rsidP="00964EBA">
      <w:pPr>
        <w:spacing w:after="0" w:line="281" w:lineRule="atLeast"/>
        <w:outlineLvl w:val="1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964EBA">
        <w:rPr>
          <w:rFonts w:ascii="PT Serif" w:eastAsia="Times New Roman" w:hAnsi="PT Serif" w:cs="Times New Roman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964EBA">
        <w:rPr>
          <w:rFonts w:ascii="PT Serif" w:eastAsia="Times New Roman" w:hAnsi="PT Serif" w:cs="Times New Roman"/>
          <w:sz w:val="28"/>
          <w:lang w:eastAsia="ru-RU"/>
        </w:rPr>
        <w:t> 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Зарегистрирован в Минюсте РФ 26 сентября 2013 г.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Регистрационный N 30038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964EBA">
        <w:rPr>
          <w:rFonts w:ascii="Arial" w:eastAsia="Times New Roman" w:hAnsi="Arial" w:cs="Arial"/>
          <w:color w:val="373737"/>
          <w:sz w:val="26"/>
          <w:lang w:eastAsia="ru-RU"/>
        </w:rPr>
        <w:t> </w:t>
      </w:r>
      <w:r w:rsidRPr="00964EBA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приказываю: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Первый заместитель Министра Н. Третьяк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u w:val="single"/>
          <w:lang w:eastAsia="ru-RU"/>
        </w:rPr>
        <w:t>Приложение</w:t>
      </w:r>
    </w:p>
    <w:p w:rsidR="00964EBA" w:rsidRPr="00964EBA" w:rsidRDefault="00964EBA" w:rsidP="00964EBA">
      <w:pPr>
        <w:shd w:val="clear" w:color="auto" w:fill="FFFFFF"/>
        <w:spacing w:before="187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30"/>
          <w:szCs w:val="30"/>
          <w:lang w:eastAsia="ru-RU"/>
        </w:rPr>
      </w:pPr>
      <w:r w:rsidRPr="00964EBA">
        <w:rPr>
          <w:rFonts w:ascii="Arial" w:eastAsia="Times New Roman" w:hAnsi="Arial" w:cs="Arial"/>
          <w:b/>
          <w:bCs/>
          <w:color w:val="373737"/>
          <w:sz w:val="30"/>
          <w:szCs w:val="30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I. Общие положения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 xml:space="preserve">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обучающихся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с ограниченными возможностями здоровья.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II. Организация и осуществление образовательной деятельности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4. Формы получения дошкольного образования и формы 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обучения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2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указанными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организациями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3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4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5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6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 xml:space="preserve">Группы могут иметь </w:t>
      </w:r>
      <w:proofErr w:type="spell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общеразвивающую</w:t>
      </w:r>
      <w:proofErr w:type="spell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, компенсирующую, оздоровительную или комбинированную направленность.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В группах </w:t>
      </w:r>
      <w:proofErr w:type="spell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общеразвивающей</w:t>
      </w:r>
      <w:proofErr w:type="spell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образовательной организации могут быть организованы также:</w:t>
      </w:r>
      <w:proofErr w:type="gramEnd"/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общеразвивающую</w:t>
      </w:r>
      <w:proofErr w:type="spell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15. 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7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8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9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18. 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10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1) для детей с ограниченными возможностями здоровья по зрению: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присутствие ассистента, оказывающего ребенку необходимую помощь;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аудиофайлы</w:t>
      </w:r>
      <w:proofErr w:type="spell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;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2) для детей с ограниченными возможностями здоровья по слуху: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обеспечение надлежащими звуковыми средствами воспроизведения информации;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11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сурдопереводчиков</w:t>
      </w:r>
      <w:proofErr w:type="spell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и тифлосурдопереводчиков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12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медицинских организациях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13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обучения по</w:t>
      </w:r>
      <w:proofErr w:type="gramEnd"/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64EBA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14</w:t>
      </w:r>
      <w:r w:rsidRPr="00964EBA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1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2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 xml:space="preserve">Часть 4 статьи 17 Федерального закона от 29 декабря 2012 г. N 273-ФЗ "Об образовании в Российской Федерации" (Собрание 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lastRenderedPageBreak/>
        <w:t>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3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4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5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6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7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8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9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10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11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 xml:space="preserve">Часть 4 статьи 79 Федерального закона от 29 декабря 2012 г. N 273-ФЗ "Об образовании в Российской Федерации" (Собрание 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lastRenderedPageBreak/>
        <w:t>законодательства Российской Федерации, 2012, N53,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12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13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64EBA" w:rsidRPr="00964EBA" w:rsidRDefault="00964EBA" w:rsidP="00964EBA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vertAlign w:val="superscript"/>
          <w:lang w:eastAsia="ru-RU"/>
        </w:rPr>
        <w:t>14</w:t>
      </w:r>
      <w:r w:rsidRPr="00964EBA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C5079" w:rsidRDefault="00964EBA"/>
    <w:sectPr w:rsidR="002C5079" w:rsidSect="0063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4EBA"/>
    <w:rsid w:val="0008189E"/>
    <w:rsid w:val="000B3558"/>
    <w:rsid w:val="000D512B"/>
    <w:rsid w:val="002B5FC2"/>
    <w:rsid w:val="00395B11"/>
    <w:rsid w:val="005618A9"/>
    <w:rsid w:val="005D36BC"/>
    <w:rsid w:val="00637A86"/>
    <w:rsid w:val="00727B4E"/>
    <w:rsid w:val="00964EBA"/>
    <w:rsid w:val="009D280E"/>
    <w:rsid w:val="00D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6"/>
  </w:style>
  <w:style w:type="paragraph" w:styleId="1">
    <w:name w:val="heading 1"/>
    <w:basedOn w:val="a"/>
    <w:link w:val="10"/>
    <w:uiPriority w:val="9"/>
    <w:qFormat/>
    <w:rsid w:val="00964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4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EBA"/>
  </w:style>
  <w:style w:type="character" w:styleId="a3">
    <w:name w:val="Hyperlink"/>
    <w:basedOn w:val="a0"/>
    <w:uiPriority w:val="99"/>
    <w:semiHidden/>
    <w:unhideWhenUsed/>
    <w:rsid w:val="00964EBA"/>
    <w:rPr>
      <w:color w:val="0000FF"/>
      <w:u w:val="single"/>
    </w:rPr>
  </w:style>
  <w:style w:type="character" w:customStyle="1" w:styleId="tik-text">
    <w:name w:val="tik-text"/>
    <w:basedOn w:val="a0"/>
    <w:rsid w:val="00964EBA"/>
  </w:style>
  <w:style w:type="paragraph" w:styleId="a4">
    <w:name w:val="Normal (Web)"/>
    <w:basedOn w:val="a"/>
    <w:uiPriority w:val="99"/>
    <w:semiHidden/>
    <w:unhideWhenUsed/>
    <w:rsid w:val="0096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441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5360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717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829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2332</Words>
  <Characters>13295</Characters>
  <Application>Microsoft Office Word</Application>
  <DocSecurity>0</DocSecurity>
  <Lines>110</Lines>
  <Paragraphs>31</Paragraphs>
  <ScaleCrop>false</ScaleCrop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2014-05-23T04:20:00Z</dcterms:created>
  <dcterms:modified xsi:type="dcterms:W3CDTF">2014-05-23T04:20:00Z</dcterms:modified>
</cp:coreProperties>
</file>